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1E36FA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2026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21363E">
        <w:rPr>
          <w:rFonts w:asciiTheme="minorHAnsi" w:hAnsiTheme="minorHAnsi" w:cstheme="minorHAnsi"/>
          <w:b/>
          <w:sz w:val="22"/>
          <w:szCs w:val="22"/>
        </w:rPr>
        <w:t>V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21363E">
        <w:rPr>
          <w:rFonts w:asciiTheme="minorHAnsi" w:hAnsiTheme="minorHAnsi" w:cstheme="minorHAnsi"/>
          <w:b/>
          <w:sz w:val="22"/>
          <w:szCs w:val="22"/>
        </w:rPr>
        <w:t>mieszkalne i usługowe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1F7DE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1E3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1E36FA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  <w:tc>
          <w:tcPr>
            <w:tcW w:w="464" w:type="dxa"/>
            <w:vAlign w:val="center"/>
          </w:tcPr>
          <w:p w:rsidR="001D5409" w:rsidRPr="00022284" w:rsidRDefault="001F7DE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1E36FA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E36FA">
              <w:rPr>
                <w:rFonts w:asciiTheme="minorHAnsi" w:hAnsiTheme="minorHAnsi" w:cstheme="minorHAnsi"/>
                <w:sz w:val="22"/>
                <w:szCs w:val="22"/>
              </w:rPr>
              <w:t>2027</w:t>
            </w:r>
          </w:p>
        </w:tc>
        <w:tc>
          <w:tcPr>
            <w:tcW w:w="394" w:type="dxa"/>
            <w:vAlign w:val="center"/>
          </w:tcPr>
          <w:p w:rsidR="001D5409" w:rsidRPr="00022284" w:rsidRDefault="001F7DE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6466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1E36FA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E36FA">
              <w:rPr>
                <w:rFonts w:asciiTheme="minorHAnsi" w:hAnsiTheme="minorHAnsi" w:cstheme="minorHAnsi"/>
                <w:sz w:val="22"/>
                <w:szCs w:val="22"/>
              </w:rPr>
              <w:t>2028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1F7DE1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1F7DE1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83752C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83752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83752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83752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83752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1F7DE1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1F7DE1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83752C">
        <w:rPr>
          <w:rFonts w:asciiTheme="minorHAnsi" w:hAnsiTheme="minorHAnsi" w:cstheme="minorHAnsi"/>
          <w:b/>
        </w:rPr>
        <w:t>2026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83752C">
        <w:rPr>
          <w:rFonts w:asciiTheme="minorHAnsi" w:hAnsiTheme="minorHAnsi" w:cstheme="minorHAnsi"/>
          <w:b/>
        </w:rPr>
        <w:t>2026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83752C">
        <w:rPr>
          <w:rFonts w:asciiTheme="minorHAnsi" w:hAnsiTheme="minorHAnsi" w:cstheme="minorHAnsi"/>
          <w:b/>
        </w:rPr>
        <w:t>2027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83752C">
        <w:rPr>
          <w:rFonts w:asciiTheme="minorHAnsi" w:hAnsiTheme="minorHAnsi" w:cstheme="minorHAnsi"/>
          <w:b/>
        </w:rPr>
        <w:t>2028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83752C">
        <w:rPr>
          <w:rFonts w:asciiTheme="minorHAnsi" w:hAnsiTheme="minorHAnsi" w:cstheme="minorHAnsi"/>
          <w:b/>
          <w:i/>
        </w:rPr>
        <w:t>2026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83752C">
        <w:rPr>
          <w:rFonts w:asciiTheme="minorHAnsi" w:hAnsiTheme="minorHAnsi" w:cstheme="minorHAnsi"/>
          <w:b/>
          <w:i/>
        </w:rPr>
        <w:t>2026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1F7DE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1F7DE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83752C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83752C">
              <w:rPr>
                <w:rFonts w:asciiTheme="minorHAnsi" w:hAnsiTheme="minorHAnsi" w:cstheme="minorHAnsi"/>
                <w:b/>
                <w:sz w:val="19"/>
                <w:szCs w:val="19"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83752C">
              <w:rPr>
                <w:rFonts w:asciiTheme="minorHAnsi" w:hAnsiTheme="minorHAnsi" w:cstheme="minorHAnsi"/>
                <w:b/>
                <w:sz w:val="19"/>
                <w:szCs w:val="19"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1F7DE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646637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646637">
              <w:rPr>
                <w:rFonts w:asciiTheme="minorHAnsi" w:hAnsiTheme="minorHAnsi" w:cstheme="minorHAnsi"/>
                <w:b/>
              </w:rPr>
              <w:t>………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1F7DE1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1F7DE1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mieszkalne i usługowe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83752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21363E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225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C8364E"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 w:rsid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51718" w:rsidRPr="00022284" w:rsidRDefault="004122CF" w:rsidP="0021363E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21363E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1</w:t>
            </w:r>
            <w:r w:rsidR="00283B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.000.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83752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375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375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375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2028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9E468A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9E468A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AC73F0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AC73F0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1F7DE1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1F7DE1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1F7DE1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AC4358">
        <w:rPr>
          <w:rFonts w:asciiTheme="minorHAnsi" w:hAnsiTheme="minorHAnsi" w:cstheme="minorHAnsi"/>
          <w:b/>
          <w:sz w:val="19"/>
          <w:szCs w:val="19"/>
        </w:rPr>
        <w:t>225</w:t>
      </w:r>
      <w:r w:rsidR="00C8364E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83752C">
        <w:rPr>
          <w:rFonts w:asciiTheme="minorHAnsi" w:hAnsiTheme="minorHAnsi" w:cstheme="minorHAnsi"/>
          <w:b/>
          <w:i/>
          <w:sz w:val="19"/>
          <w:szCs w:val="19"/>
          <w:u w:val="single"/>
        </w:rPr>
        <w:t>2026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 xml:space="preserve">kt D.2.a wartości mniejszej niż </w:t>
      </w:r>
      <w:r w:rsidR="005323A8">
        <w:rPr>
          <w:rFonts w:asciiTheme="minorHAnsi" w:hAnsiTheme="minorHAnsi" w:cstheme="minorHAnsi"/>
          <w:i/>
          <w:sz w:val="19"/>
          <w:szCs w:val="19"/>
        </w:rPr>
        <w:t>2</w:t>
      </w:r>
      <w:r w:rsidR="00C8364E">
        <w:rPr>
          <w:rFonts w:asciiTheme="minorHAnsi" w:hAnsiTheme="minorHAnsi" w:cstheme="minorHAnsi"/>
          <w:i/>
          <w:sz w:val="19"/>
          <w:szCs w:val="19"/>
        </w:rPr>
        <w:t>25.</w:t>
      </w:r>
      <w:r w:rsidRPr="00022284">
        <w:rPr>
          <w:rFonts w:asciiTheme="minorHAnsi" w:hAnsiTheme="minorHAnsi" w:cstheme="minorHAnsi"/>
          <w:i/>
          <w:sz w:val="19"/>
          <w:szCs w:val="19"/>
        </w:rPr>
        <w:t>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1F7DE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83752C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83752C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2026</w:t>
            </w:r>
            <w:r w:rsidR="00646637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1F7DE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1F7DE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4B4F29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83752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4B4F29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83752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4B4F29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137877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października 1991 r. o organizowaniu i prowadzeniu działalności kulturalnej (Dz. U 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 xml:space="preserve">. OSOBA </w:t>
      </w:r>
      <w:r w:rsidR="00CE1FD9" w:rsidRPr="00265C70">
        <w:rPr>
          <w:rFonts w:asciiTheme="minorHAnsi" w:hAnsiTheme="minorHAnsi" w:cstheme="minorHAnsi"/>
          <w:b/>
        </w:rPr>
        <w:t>UPOWAŻNIONA PRZEZ WNIOSKODAWCĘ/WNIOSKODAWCÓW DO ODBIORU KORESPONDENCJI URZĘDOWEJ W SPRAWIE WNIOSKU</w:t>
      </w:r>
      <w:r w:rsidR="00E85378" w:rsidRPr="00265C70">
        <w:rPr>
          <w:rFonts w:asciiTheme="minorHAnsi" w:hAnsiTheme="minorHAnsi" w:cstheme="minorHAnsi"/>
          <w:b/>
        </w:rPr>
        <w:t xml:space="preserve"> i DO KONTAKTU</w:t>
      </w:r>
      <w:r w:rsidR="00CE1FD9" w:rsidRPr="00265C70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540A03" w:rsidRDefault="00540A03" w:rsidP="00540A03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do e-Doręczeń: . . . . . . . . . . . . . . . . . . . . . . . . . . . . . . . . . . . . . . . . . . . . . . . . . . . . . . . . 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40A03" w:rsidTr="001E36FA">
        <w:trPr>
          <w:trHeight w:val="88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40A03" w:rsidRDefault="00540A03" w:rsidP="001E36FA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Dzięki usłudze e-Doręczeń można otrzymywać i wysyłać korespondencję drogą elektroniczną bez konieczności korzystania z papierowej wersji dokumentów. To prosta i przejrzysta forma komunikacji z urzędami, równoważna prawnie z tradycyjną przesyłką poleconą za potwierdzeniem odbioru. Osoby fizyczne mogą założyć skrzynkę do e-Doręczeń i uzyskać swój indywidualny adres e-Doręczeń w serwisie </w:t>
            </w:r>
            <w:proofErr w:type="spellStart"/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mObywatel</w:t>
            </w:r>
            <w:proofErr w:type="spellEnd"/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(www.mObywatel.gov.pl).</w:t>
            </w:r>
          </w:p>
        </w:tc>
      </w:tr>
    </w:tbl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 xml:space="preserve">DANE DOTYCZĄCE POMOCY </w:t>
      </w:r>
      <w:r w:rsidR="00575D39" w:rsidRPr="00575D39">
        <w:rPr>
          <w:rFonts w:asciiTheme="minorHAnsi" w:hAnsiTheme="minorHAnsi" w:cstheme="minorHAnsi"/>
          <w:b/>
          <w:i/>
          <w:sz w:val="22"/>
          <w:szCs w:val="22"/>
        </w:rPr>
        <w:t>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100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1000"/>
        <w:gridCol w:w="425"/>
        <w:gridCol w:w="843"/>
        <w:gridCol w:w="1446"/>
      </w:tblGrid>
      <w:tr w:rsidR="00540A03" w:rsidRPr="00265C70" w:rsidTr="00540A03">
        <w:trPr>
          <w:cantSplit/>
          <w:trHeight w:val="227"/>
        </w:trPr>
        <w:tc>
          <w:tcPr>
            <w:tcW w:w="6379" w:type="dxa"/>
            <w:shd w:val="clear" w:color="auto" w:fill="auto"/>
            <w:vAlign w:val="center"/>
          </w:tcPr>
          <w:p w:rsidR="00540A03" w:rsidRPr="00265C70" w:rsidRDefault="00540A03" w:rsidP="001E36FA">
            <w:pPr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H.1.a.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1000" w:type="dxa"/>
            <w:vAlign w:val="center"/>
          </w:tcPr>
          <w:p w:rsidR="00540A03" w:rsidRPr="00265C70" w:rsidRDefault="001F7DE1" w:rsidP="001E36FA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6828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A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540A03" w:rsidRPr="00265C70" w:rsidRDefault="00540A03" w:rsidP="001E36F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843" w:type="dxa"/>
            <w:vAlign w:val="center"/>
          </w:tcPr>
          <w:p w:rsidR="00540A03" w:rsidRPr="00265C70" w:rsidRDefault="001F7DE1" w:rsidP="001E36FA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771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A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46" w:type="dxa"/>
            <w:vAlign w:val="center"/>
          </w:tcPr>
          <w:p w:rsidR="00540A03" w:rsidRPr="00265C70" w:rsidRDefault="00540A03" w:rsidP="001E36F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H.1.a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265C70">
        <w:rPr>
          <w:rFonts w:asciiTheme="minorHAnsi" w:hAnsiTheme="minorHAnsi" w:cstheme="minorHAnsi"/>
          <w:b/>
          <w:sz w:val="18"/>
          <w:szCs w:val="18"/>
        </w:rPr>
        <w:t>H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="00575D39" w:rsidRPr="00575D39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="00575D39" w:rsidRPr="00575D39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83752C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C21964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83752C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Pr="00265C70">
              <w:rPr>
                <w:rFonts w:asciiTheme="minorHAnsi" w:hAnsiTheme="minorHAnsi" w:cstheme="minorHAnsi"/>
                <w:b/>
              </w:rPr>
              <w:t xml:space="preserve"> wiąże się z opisaną w pkt. H.1.b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1F7DE1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1F7DE1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83752C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61433C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lastRenderedPageBreak/>
              <w:t>H.1.d.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1F7DE1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1F7DE1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83752C">
        <w:trPr>
          <w:gridAfter w:val="1"/>
          <w:wAfter w:w="13" w:type="dxa"/>
          <w:cantSplit/>
          <w:trHeight w:val="1347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663C73" w:rsidP="0061433C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Pr="00265C70">
              <w:rPr>
                <w:rFonts w:asciiTheme="minorHAnsi" w:hAnsiTheme="minorHAnsi" w:cstheme="minorHAnsi"/>
                <w:b/>
              </w:rPr>
              <w:t xml:space="preserve">wnioskiem?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1F7DE1" w:rsidP="00067301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83752C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83752C">
            <w:pPr>
              <w:spacing w:before="120"/>
              <w:ind w:hanging="8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Nie </w:t>
            </w:r>
            <w:proofErr w:type="spellStart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doty</w:t>
            </w:r>
            <w:proofErr w:type="spellEnd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83752C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E2AFB" w:rsidP="00457BD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83752C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E2AFB" w:rsidP="00C21964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 wyniku zrealizowania wnioskowanego zadania </w:t>
            </w:r>
            <w:r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……………………………………………………m2</w:t>
            </w:r>
          </w:p>
        </w:tc>
      </w:tr>
    </w:tbl>
    <w:p w:rsidR="00C21964" w:rsidRPr="00265C70" w:rsidRDefault="00C21964"/>
    <w:p w:rsidR="0061433C" w:rsidRPr="00265C70" w:rsidRDefault="0061433C" w:rsidP="0061433C">
      <w:pPr>
        <w:spacing w:line="276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etapowane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pkt. H.1.d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H.1.e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b) opcji „TAK” w pkt H.1.d i opcji „Nie dotyczy” w pkt H.1e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 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jakie otrzymał w roku podatkowym, w 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oraz wielkości i przeznaczenia 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rozporządzenia Rady Ministrów z dnia 29 marca 2010 r. w sprawie zakresu informacji przedstawianych przez podmiot ubiegający się o pomoc </w:t>
      </w:r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575D39" w:rsidRPr="00575D39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(Dz.U. poz. 311 ze zm.) obowiąz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ujący w dniu składania wniosku.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E947E9">
        <w:rPr>
          <w:rFonts w:asciiTheme="minorHAnsi" w:hAnsiTheme="minorHAnsi" w:cstheme="minorHAnsi"/>
          <w:b/>
        </w:rPr>
        <w:t>I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47E9">
        <w:rPr>
          <w:rFonts w:asciiTheme="minorHAnsi" w:hAnsiTheme="minorHAnsi" w:cstheme="minorHAnsi"/>
          <w:b/>
        </w:rPr>
        <w:t>J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lastRenderedPageBreak/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D27A8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B. Wymagane załączniki do EGZ. 1 wniosku o dofinansowanie stanowią:</w:t>
            </w:r>
          </w:p>
          <w:p w:rsidR="00011EEF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E947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 w:rsidR="00E947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5) w przypadku osób prawnych niefigurujących w Krajowym Rejestrze Sądowym innych niż państwowe osoby prawne w 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</w:t>
            </w:r>
            <w:r w:rsidR="00B3799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miny, statuty i inne wewnętrzne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1A26E9" w:rsidRPr="000601F9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C. Wnioskodawcy ubiegający się we wniosku o pomoc publiczną </w:t>
            </w:r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pkt. H.1.d zaznaczyli opcję „TAK” i w pkt H.1.e opcję „Tak” lub  „Nie dotyczy”)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575D39" w:rsidRPr="00575D3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0A6D9B" w:rsidRPr="00E947E9" w:rsidRDefault="00E44269" w:rsidP="006315CE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b/>
                <w:dstrike/>
                <w:sz w:val="18"/>
                <w:szCs w:val="18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6315C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 oparciu o dokumentację projektową, której sporządzenie stanowi przedmiot dofinansowania z Narodowego Funduszu Rewaloryza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6315C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2025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6315C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2025</w:t>
            </w:r>
            <w:bookmarkStart w:id="0" w:name="_GoBack"/>
            <w:bookmarkEnd w:id="0"/>
            <w:r w:rsidR="0064663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lastRenderedPageBreak/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mieszkalne i usługowe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225</w:t>
            </w:r>
            <w:r w:rsidR="0075357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dla zadania jednorocznego realizowanego wyłącznie w roku </w:t>
            </w:r>
            <w:r w:rsidR="004B4F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nia (np. wyłączenie zabudowy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lastRenderedPageBreak/>
              <w:t>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Rozporządzeniu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Prezydenta Rzeczypospolitej Polskiej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 dnia 5 września 2023 r.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 sprawie uznania za pomnik historii „Kraków – opactwo Cystersów w Mogile”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(Dz.U. z 2023 r., p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oz.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1867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9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Default="005E5ADF">
      <w:pPr>
        <w:rPr>
          <w:rFonts w:asciiTheme="minorHAnsi" w:hAnsiTheme="minorHAnsi" w:cstheme="minorHAnsi"/>
          <w:sz w:val="22"/>
          <w:szCs w:val="22"/>
        </w:rPr>
      </w:pPr>
    </w:p>
    <w:sectPr w:rsidR="005E5ADF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E1" w:rsidRDefault="001F7DE1">
      <w:r>
        <w:separator/>
      </w:r>
    </w:p>
  </w:endnote>
  <w:endnote w:type="continuationSeparator" w:id="0">
    <w:p w:rsidR="001F7DE1" w:rsidRDefault="001F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FA" w:rsidRPr="000B7779" w:rsidRDefault="001E36FA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1E36FA" w:rsidRPr="000B7779" w:rsidRDefault="001E36FA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FA" w:rsidRPr="001160F6" w:rsidRDefault="001E36FA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1E36FA" w:rsidRDefault="001E36FA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1E36FA" w:rsidRPr="001160F6" w:rsidRDefault="001E36FA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1E36FA" w:rsidRPr="001160F6" w:rsidRDefault="001E36FA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6315CE">
      <w:rPr>
        <w:rStyle w:val="Numerstrony"/>
        <w:rFonts w:asciiTheme="minorHAnsi" w:hAnsiTheme="minorHAnsi" w:cstheme="minorHAnsi"/>
        <w:noProof/>
        <w:sz w:val="16"/>
        <w:szCs w:val="16"/>
      </w:rPr>
      <w:t>14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1E36FA" w:rsidRPr="001160F6" w:rsidRDefault="001E36FA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E1" w:rsidRDefault="001F7DE1">
      <w:r>
        <w:separator/>
      </w:r>
    </w:p>
  </w:footnote>
  <w:footnote w:type="continuationSeparator" w:id="0">
    <w:p w:rsidR="001F7DE1" w:rsidRDefault="001F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FA" w:rsidRPr="006F752E" w:rsidRDefault="001E36FA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1E36FA" w:rsidRPr="006F752E" w:rsidRDefault="001E36FA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1E36FA" w:rsidRPr="00994718" w:rsidRDefault="001E3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30"/>
  </w:num>
  <w:num w:numId="8">
    <w:abstractNumId w:val="39"/>
  </w:num>
  <w:num w:numId="9">
    <w:abstractNumId w:val="12"/>
  </w:num>
  <w:num w:numId="10">
    <w:abstractNumId w:val="11"/>
  </w:num>
  <w:num w:numId="11">
    <w:abstractNumId w:val="40"/>
  </w:num>
  <w:num w:numId="12">
    <w:abstractNumId w:val="22"/>
  </w:num>
  <w:num w:numId="13">
    <w:abstractNumId w:val="9"/>
  </w:num>
  <w:num w:numId="14">
    <w:abstractNumId w:val="0"/>
  </w:num>
  <w:num w:numId="15">
    <w:abstractNumId w:val="4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24"/>
  </w:num>
  <w:num w:numId="21">
    <w:abstractNumId w:val="26"/>
  </w:num>
  <w:num w:numId="22">
    <w:abstractNumId w:val="19"/>
  </w:num>
  <w:num w:numId="23">
    <w:abstractNumId w:val="2"/>
  </w:num>
  <w:num w:numId="24">
    <w:abstractNumId w:val="18"/>
  </w:num>
  <w:num w:numId="25">
    <w:abstractNumId w:val="6"/>
  </w:num>
  <w:num w:numId="26">
    <w:abstractNumId w:val="35"/>
  </w:num>
  <w:num w:numId="27">
    <w:abstractNumId w:val="20"/>
  </w:num>
  <w:num w:numId="28">
    <w:abstractNumId w:val="31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1"/>
  </w:num>
  <w:num w:numId="35">
    <w:abstractNumId w:val="5"/>
  </w:num>
  <w:num w:numId="36">
    <w:abstractNumId w:val="25"/>
  </w:num>
  <w:num w:numId="37">
    <w:abstractNumId w:val="33"/>
  </w:num>
  <w:num w:numId="38">
    <w:abstractNumId w:val="23"/>
  </w:num>
  <w:num w:numId="39">
    <w:abstractNumId w:val="32"/>
  </w:num>
  <w:num w:numId="40">
    <w:abstractNumId w:val="29"/>
  </w:num>
  <w:num w:numId="41">
    <w:abstractNumId w:val="1"/>
  </w:num>
  <w:num w:numId="42">
    <w:abstractNumId w:val="3"/>
  </w:num>
  <w:num w:numId="43">
    <w:abstractNumId w:val="13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87B"/>
    <w:rsid w:val="000721FB"/>
    <w:rsid w:val="000734E2"/>
    <w:rsid w:val="000822EA"/>
    <w:rsid w:val="00084CA9"/>
    <w:rsid w:val="000906FF"/>
    <w:rsid w:val="0009082D"/>
    <w:rsid w:val="00093126"/>
    <w:rsid w:val="0009594F"/>
    <w:rsid w:val="000A2B4E"/>
    <w:rsid w:val="000A6D9B"/>
    <w:rsid w:val="000A7F42"/>
    <w:rsid w:val="000B7779"/>
    <w:rsid w:val="000B7952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365B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36FA"/>
    <w:rsid w:val="001E4B20"/>
    <w:rsid w:val="001E4F05"/>
    <w:rsid w:val="001E5B89"/>
    <w:rsid w:val="001E6F8B"/>
    <w:rsid w:val="001F5DB4"/>
    <w:rsid w:val="001F7524"/>
    <w:rsid w:val="001F7DE1"/>
    <w:rsid w:val="00207E88"/>
    <w:rsid w:val="002101BE"/>
    <w:rsid w:val="002103C6"/>
    <w:rsid w:val="002133BB"/>
    <w:rsid w:val="0021363E"/>
    <w:rsid w:val="0022390C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3B24"/>
    <w:rsid w:val="00283C39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39F7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7651E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245"/>
    <w:rsid w:val="003A7679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3207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4F29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568D"/>
    <w:rsid w:val="005169EA"/>
    <w:rsid w:val="00521718"/>
    <w:rsid w:val="00521AC8"/>
    <w:rsid w:val="005221D9"/>
    <w:rsid w:val="005243D7"/>
    <w:rsid w:val="00524E9D"/>
    <w:rsid w:val="00527D55"/>
    <w:rsid w:val="0053033E"/>
    <w:rsid w:val="005316AF"/>
    <w:rsid w:val="005323A8"/>
    <w:rsid w:val="005369D0"/>
    <w:rsid w:val="0053707A"/>
    <w:rsid w:val="00540A03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356D"/>
    <w:rsid w:val="00567268"/>
    <w:rsid w:val="005738E4"/>
    <w:rsid w:val="00575D39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D6D0F"/>
    <w:rsid w:val="005E5ADF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220E3"/>
    <w:rsid w:val="00624841"/>
    <w:rsid w:val="00625CD5"/>
    <w:rsid w:val="00626812"/>
    <w:rsid w:val="00630465"/>
    <w:rsid w:val="006315CE"/>
    <w:rsid w:val="00635D4F"/>
    <w:rsid w:val="006374FF"/>
    <w:rsid w:val="00646637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57DFC"/>
    <w:rsid w:val="00663C73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6E8A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3752C"/>
    <w:rsid w:val="00843A10"/>
    <w:rsid w:val="00853154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68A"/>
    <w:rsid w:val="009E4BEC"/>
    <w:rsid w:val="009E5489"/>
    <w:rsid w:val="009E6DCC"/>
    <w:rsid w:val="009F3C54"/>
    <w:rsid w:val="009F4932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5685"/>
    <w:rsid w:val="00A26138"/>
    <w:rsid w:val="00A31150"/>
    <w:rsid w:val="00A315BD"/>
    <w:rsid w:val="00A33CA6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253B"/>
    <w:rsid w:val="00AB4230"/>
    <w:rsid w:val="00AB4F2C"/>
    <w:rsid w:val="00AB679E"/>
    <w:rsid w:val="00AC4358"/>
    <w:rsid w:val="00AC73F0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37993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85BD7"/>
    <w:rsid w:val="00B90C7E"/>
    <w:rsid w:val="00B97D97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E1F4F"/>
    <w:rsid w:val="00BE2981"/>
    <w:rsid w:val="00BE3819"/>
    <w:rsid w:val="00BE4883"/>
    <w:rsid w:val="00BF18FD"/>
    <w:rsid w:val="00BF1B38"/>
    <w:rsid w:val="00BF2D7A"/>
    <w:rsid w:val="00BF4C9B"/>
    <w:rsid w:val="00BF55FE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1C2C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74A88"/>
    <w:rsid w:val="00E85378"/>
    <w:rsid w:val="00E8542A"/>
    <w:rsid w:val="00E86C66"/>
    <w:rsid w:val="00E8714D"/>
    <w:rsid w:val="00E947E9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0BE8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koz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3180-B1E1-49C7-81B5-51BF708B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9218</Words>
  <Characters>55314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64404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SKOZK2</cp:lastModifiedBy>
  <cp:revision>3</cp:revision>
  <cp:lastPrinted>2024-07-29T15:01:00Z</cp:lastPrinted>
  <dcterms:created xsi:type="dcterms:W3CDTF">2025-06-24T13:13:00Z</dcterms:created>
  <dcterms:modified xsi:type="dcterms:W3CDTF">2025-07-03T12:09:00Z</dcterms:modified>
</cp:coreProperties>
</file>